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Эндокринология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Эндокринология | Записей: 1 | Кейс: 1 | Вопросов: 12</w:t>
      </w:r>
    </w:p>
    <w:p>
      <w:r>
        <w:br w:type="page"/>
      </w:r>
    </w:p>
    <w:p>
      <w:pPr>
        <w:pStyle w:val="Heading1"/>
      </w:pPr>
      <w:r>
        <w:t>Эндокринология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33 лет обратилась на амбулаторный приём к врачу-эндокринологу.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бесплодие.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планирует беременность в течение двух лет. Обследована гинекологом – патологических изменений органов малого таза не выявлено, показатели ТТГ, ФСГ, ЛГ и эстрадиола в пределах референсных значений. Мужской фактор исключен. Гинекологом направлена на консультацию к эндокринологу. На момент осмотра никаких препаратов не принимает.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Наследственность: по эндокринной системе не отягощена.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отрицает.</w:t>
      </w:r>
    </w:p>
    <w:p>
      <w:pPr>
        <w:spacing w:after="58"/>
      </w:pPr>
      <w:r>
        <w:rPr>
          <w:b w:val="0"/>
          <w:i w:val="0"/>
        </w:rPr>
        <w:t>* Аллергоанамнез: аллергические реакции на медикаменты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Кожные покровы обычной окраски и влажности, стрий нет, отёков нет. Аускультативно в лёгких везикулярное дыхание, ЧДД – 17 в минуту. Тоны сердца ритмичные, пульс – 71 в минуту, АД – 131/68 мм рт. ст. Живот мягкий, безболезненный. Явных клинических признаков акромегалии, гиперкортицизма нет. Выделений из сосков нет. Щитовидная железа при пальпации не увеличена, безболезненная, мягко-эластической консистенции, смещается при глотании, узловые образования не пальпируются.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качестве первой линии диагностики у данной пациентки необходимо двукратное исследование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ИФР-1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пролактина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глобулина, связывающего половые гормоны (ГСПГ)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прогестерона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пролактина</w:t>
      </w:r>
    </w:p>
    <w:p>
      <w:pPr>
        <w:ind w:left="504"/>
      </w:pPr>
      <w:r>
        <w:rPr>
          <w:b w:val="0"/>
          <w:i/>
        </w:rPr>
        <w:t>Для исключения гиперпролактинемии рекомендуется как минимум двукратное проведение лабораторного исследования уровня пролактина.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Исследование уровня пролактина</w:t>
      </w:r>
    </w:p>
    <w:p>
      <w:pPr>
        <w:spacing w:after="58"/>
      </w:pPr>
      <w:r>
        <w:rPr>
          <w:b w:val="0"/>
          <w:i w:val="0"/>
        </w:rPr>
        <w:t>2145; 1869 мЕд/л (64-395)</w:t>
      </w:r>
    </w:p>
    <w:p>
      <w:pPr>
        <w:pStyle w:val="Heading3"/>
      </w:pPr>
      <w:r>
        <w:t>3.3. Исследование уровня глобулина, связывающего половые гормоны (ГСПГ)</w:t>
      </w:r>
    </w:p>
    <w:p>
      <w:pPr>
        <w:spacing w:after="58"/>
      </w:pPr>
      <w:r>
        <w:rPr>
          <w:b w:val="0"/>
          <w:i w:val="0"/>
        </w:rPr>
        <w:t>26,4; 32,5 нмоль/л (14,7-122,5)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Методом инструментальной диагностики в данной ситуации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МРТ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рентгенографии черепа в боковой проекции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ПЭТ-КТ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</w:t>
      </w:r>
    </w:p>
    <w:p>
      <w:pPr>
        <w:ind w:left="504"/>
      </w:pPr>
      <w:r>
        <w:rPr>
          <w:b w:val="0"/>
          <w:i/>
        </w:rPr>
        <w:t>МРТ головного мозга является наиболее информативным методом в диагностике опухолей гипоталамо-гипофизарной области. Прибегать к данному исследованию следует после исключения вторичных причин гиперпролактинемии (не принимает лек. препаратов, гипотиреоза нет) плюс имеется первичное подозрении на имеющуюся опухоль (сопутствующая головная боль), косвенно – уровень повышения пролактина.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МРТ головного мозга</w:t>
      </w:r>
    </w:p>
    <w:p>
      <w:pPr>
        <w:spacing w:after="58"/>
      </w:pPr>
      <w:r>
        <w:rPr>
          <w:b w:val="0"/>
          <w:i w:val="0"/>
        </w:rPr>
        <w:t>В области гипофиза определяется эндоселлярное образование размерами 6х5х6 мм, образование прилежит к перекресту зрительных нервов.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клинико-лабораторных и инструментальных данных пациентке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E22.0 Акромегалия и гипофизарный гигантизм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E24.0 Болезнь Иценко-Кушинга гипофизарного происхождения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D35.2 Гормонально-неактивная аденома гипофиза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E22.1 Гиперпролактинемия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E22.1 Гиперпролактинемия</w:t>
      </w:r>
    </w:p>
    <w:p>
      <w:pPr>
        <w:ind w:left="504"/>
      </w:pPr>
      <w:r>
        <w:rPr>
          <w:b w:val="0"/>
          <w:i/>
        </w:rPr>
        <w:t>Принимая во внимание клиническую картину (жалобы, нарушение репродуктивной функции), лабораторные показатели (повышение пролактина) инструментальные данные (наличие макроаденомы по данным МРТ) можно предположить диагноз пролактин-секретирующей микроаденомы гипофиза.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E22.1 Гиперпролактинемия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Оптимальной тактикой в отношении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медикаментозная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лучевая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динамическое наблюдение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хирургическое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медикаментозная терапия</w:t>
      </w:r>
    </w:p>
    <w:p>
      <w:pPr>
        <w:ind w:left="504"/>
      </w:pPr>
      <w:r>
        <w:rPr>
          <w:b w:val="0"/>
          <w:i/>
        </w:rPr>
        <w:t>Методом выбора у пациентов с гиперпролактинемией опухолевого генеза является медикаментозное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Препаратом выбора для лечения гиперпролактинемии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бромокриптин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хинаголид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пасиреотид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каберголин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каберголин</w:t>
      </w:r>
    </w:p>
    <w:p>
      <w:pPr>
        <w:ind w:left="504"/>
      </w:pPr>
      <w:r>
        <w:rPr>
          <w:b w:val="0"/>
          <w:i/>
        </w:rPr>
        <w:t>Из всех агонистов дофамина Каберголин является препаратом первой линии как наиболее эффективный в отношении нормализации уровня пролактина и уменьшения размеров опухоли.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Начальная доза каберголина в неделю составляет +_____+ мг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0,5-0,75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5-7,5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0,25-0,5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0,25-0,5</w:t>
      </w:r>
    </w:p>
    <w:p>
      <w:pPr>
        <w:ind w:left="504"/>
      </w:pPr>
      <w:r>
        <w:rPr>
          <w:b w:val="0"/>
          <w:i/>
        </w:rPr>
        <w:t>Начальная дозировка составляет 0,25-0,5 мг в неделю с последующим наращиванием дозы до нормализации уровня пролактина.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коррекции дозы каберголина уровень пролактина измеряется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месяц</w:t>
      </w:r>
    </w:p>
    <w:p>
      <w:pPr>
        <w:ind w:left="504"/>
      </w:pPr>
      <w:r>
        <w:rPr>
          <w:b w:val="0"/>
          <w:i/>
        </w:rPr>
        <w:t>Наблюдение при приеме каберголина включает периодическое измерение уровня пролактина, первично через 1 месяц после начала лечения для коррекции терапии</w:t>
        <w:br/>
        <w:br/>
        <w:t>Эндокринология : национальное руководство / под ред. И. И. Дедова, Г. А. Мельниченко. - 2-е изд. , перераб. и доп. - Москва : ГЭОТАР-Медиа, 2021. - 1112 с. : ил. - 1112 с. - ISBN 978-5-9704-6054-2.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 повторной консультации пациентка сообщила, что наступила беременность. Необходимо рекомендовать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отменить каберголин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продолжить лечение в прежнем режиме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повысить дозу каберголина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снизить дозу каберголина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отменить каберголин</w:t>
      </w:r>
    </w:p>
    <w:p>
      <w:pPr>
        <w:ind w:left="504"/>
      </w:pPr>
      <w:r>
        <w:rPr>
          <w:b w:val="0"/>
          <w:i/>
        </w:rPr>
        <w:t>При подтверждении факта наступления беременности терапию агонистами следует отменить.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После наступления беременности проводить контроль уровня пролактина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требуется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1 раз в триместр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 ежемесячно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нужно еженедельно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требуется</w:t>
      </w:r>
    </w:p>
    <w:p>
      <w:pPr>
        <w:ind w:left="504"/>
      </w:pPr>
      <w:r>
        <w:rPr>
          <w:b w:val="0"/>
          <w:i/>
        </w:rPr>
        <w:t>У беременных женщин контроль уровня пролактина не проводится.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Клиническое наблюдение беременной пациентки с пролактинсекретирующей микроаденомой необходимо проводить один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триместр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два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триместр</w:t>
      </w:r>
    </w:p>
    <w:p>
      <w:pPr>
        <w:ind w:left="504"/>
      </w:pPr>
      <w:r>
        <w:rPr>
          <w:b w:val="0"/>
          <w:i/>
        </w:rPr>
        <w:t>Пациенткам с микроаденомами показано клиническое обследование, включающее в себя сбор жалоб и осмотр 1 раз в триместр.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подозрении на рост объемного образования у беременной пациентки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МРТ головного мозга с контрастированием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МРТ головного мозга без контрастирования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рентгенографию черепа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без контрастирования</w:t>
      </w:r>
    </w:p>
    <w:p>
      <w:pPr>
        <w:ind w:left="504"/>
      </w:pPr>
      <w:r>
        <w:rPr>
          <w:b w:val="0"/>
          <w:i/>
        </w:rPr>
        <w:t>При наличии признаков роста объемного образования у беременных пациенток с пролактиномами рекомендуется проведение МРТ головного мозга без контрастирования.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выявлении роста опухоли или прогрессировании симптоматики у беременной пациентки с пролактиномой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назначить аналоги соматостатина пролонгированного 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продолжить 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возобновить терапию агонистами дофамина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провести лучевую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возобновить терапию агонистами дофамина</w:t>
      </w:r>
    </w:p>
    <w:p>
      <w:pPr>
        <w:ind w:left="504"/>
      </w:pPr>
      <w:r>
        <w:rPr>
          <w:b w:val="0"/>
          <w:i/>
        </w:rPr>
        <w:t>При выявлении роста опухоли или прогрессировании симптоматики у беременной пациентки с пролактиномой необходимо возобновить терапию агонистами дофамина.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Гиперпролактинемия, 2021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giperprolaktinemiya_2021g/" TargetMode="External"/><Relationship Id="rId10" Type="http://schemas.openxmlformats.org/officeDocument/2006/relationships/hyperlink" Target="https://library.mededtech.ru/rest/documents/giperprolaktinemiya_2021g/#list_item_31445l" TargetMode="External"/><Relationship Id="rId11" Type="http://schemas.openxmlformats.org/officeDocument/2006/relationships/hyperlink" Target="https://library.mededtech.ru/rest/documents/giperprolaktinemiya_2021g/#list_item_h972j4" TargetMode="External"/><Relationship Id="rId12" Type="http://schemas.openxmlformats.org/officeDocument/2006/relationships/hyperlink" Target="https://library.mededtech.ru/rest/documents/giperprolaktinemiya_2021g/#paragraph_v35q23" TargetMode="External"/><Relationship Id="rId13" Type="http://schemas.openxmlformats.org/officeDocument/2006/relationships/hyperlink" Target="https://library.mededtech.ru/rest/documents/giperprolaktinemiya_2021g/#paragraph_a3hf51" TargetMode="External"/><Relationship Id="rId14" Type="http://schemas.openxmlformats.org/officeDocument/2006/relationships/hyperlink" Target="https://library.mededtech.ru/rest/documents/giperprolaktinemiya_2021g/#list_item_ni7qd2" TargetMode="External"/><Relationship Id="rId15" Type="http://schemas.openxmlformats.org/officeDocument/2006/relationships/hyperlink" Target="https://library.mededtech.ru/rest/documents/giperprolaktinemiya_2021g/#list_item_bir6j6" TargetMode="External"/><Relationship Id="rId16" Type="http://schemas.openxmlformats.org/officeDocument/2006/relationships/hyperlink" Target="https://library.mededtech.ru/rest/documents/giperprolaktinemiya_2021g/#list_item_hteiio" TargetMode="External"/><Relationship Id="rId17" Type="http://schemas.openxmlformats.org/officeDocument/2006/relationships/hyperlink" Target="https://library.mededtech.ru/rest/documents/ISBN9785970460542/?anchor=list_item_v04sb7#list_item_v04sb7" TargetMode="External"/><Relationship Id="rId18" Type="http://schemas.openxmlformats.org/officeDocument/2006/relationships/hyperlink" Target="https://library.mededtech.ru/rest/documents/giperprolaktinemiya_2021g/#list_item_t6ujhs" TargetMode="External"/><Relationship Id="rId19" Type="http://schemas.openxmlformats.org/officeDocument/2006/relationships/hyperlink" Target="https://library.mededtech.ru/rest/documents/giperprolaktinemiya_2021g/#list_item_krbiej" TargetMode="External"/><Relationship Id="rId20" Type="http://schemas.openxmlformats.org/officeDocument/2006/relationships/hyperlink" Target="https://library.mededtech.ru/rest/documents/giperprolaktinemiya_2021g/#paragraph_mslrc5" TargetMode="External"/><Relationship Id="rId21" Type="http://schemas.openxmlformats.org/officeDocument/2006/relationships/hyperlink" Target="https://library.mededtech.ru/rest/documents/giperprolaktinemiya_2021g/#list_item_hk3b8c" TargetMode="External"/><Relationship Id="rId22" Type="http://schemas.openxmlformats.org/officeDocument/2006/relationships/hyperlink" Target="https://library.mededtech.ru/rest/documents/giperprolaktinemiya_2021g/#list_item_63q1b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